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6891C" w14:textId="77777777" w:rsidR="00886B6F" w:rsidRPr="004855E7" w:rsidRDefault="00886B6F" w:rsidP="00886B6F">
      <w:pPr>
        <w:jc w:val="center"/>
        <w:rPr>
          <w:rFonts w:asciiTheme="minorHAnsi" w:eastAsiaTheme="minorHAnsi" w:hAnsiTheme="minorHAnsi" w:cstheme="minorHAnsi"/>
          <w:b/>
          <w:i/>
          <w:sz w:val="28"/>
          <w:szCs w:val="28"/>
        </w:rPr>
      </w:pPr>
      <w:r w:rsidRPr="004855E7">
        <w:rPr>
          <w:rFonts w:asciiTheme="minorHAnsi" w:eastAsiaTheme="minorHAnsi" w:hAnsiTheme="minorHAnsi" w:cstheme="minorHAnsi"/>
          <w:b/>
          <w:i/>
          <w:sz w:val="28"/>
          <w:szCs w:val="28"/>
        </w:rPr>
        <w:t>Requirements for Charities in the State Employee Workplace</w:t>
      </w:r>
    </w:p>
    <w:p w14:paraId="37B6BD4E" w14:textId="77777777" w:rsidR="00886B6F" w:rsidRPr="004855E7" w:rsidRDefault="00886B6F" w:rsidP="00886B6F">
      <w:pPr>
        <w:jc w:val="center"/>
        <w:rPr>
          <w:rFonts w:asciiTheme="minorHAnsi" w:eastAsiaTheme="minorHAnsi" w:hAnsiTheme="minorHAnsi" w:cstheme="minorHAnsi"/>
          <w:sz w:val="28"/>
          <w:szCs w:val="28"/>
        </w:rPr>
      </w:pPr>
      <w:r w:rsidRPr="004855E7">
        <w:rPr>
          <w:rFonts w:asciiTheme="minorHAnsi" w:eastAsiaTheme="minorHAnsi" w:hAnsiTheme="minorHAnsi" w:cstheme="minorHAnsi"/>
          <w:sz w:val="28"/>
          <w:szCs w:val="28"/>
        </w:rPr>
        <w:t xml:space="preserve">Important Fact Sheet for State Agencies, University System Organizations and Charities </w:t>
      </w:r>
    </w:p>
    <w:p w14:paraId="788933C5" w14:textId="77777777" w:rsidR="00886B6F" w:rsidRPr="004855E7" w:rsidRDefault="00886B6F" w:rsidP="00886B6F">
      <w:pPr>
        <w:jc w:val="center"/>
        <w:rPr>
          <w:rFonts w:asciiTheme="minorHAnsi" w:eastAsiaTheme="minorHAnsi" w:hAnsiTheme="minorHAnsi" w:cstheme="minorHAnsi"/>
          <w:szCs w:val="22"/>
        </w:rPr>
      </w:pPr>
    </w:p>
    <w:p w14:paraId="429415FC" w14:textId="77777777" w:rsidR="00886B6F" w:rsidRPr="004855E7" w:rsidRDefault="00886B6F" w:rsidP="00886B6F">
      <w:pPr>
        <w:jc w:val="center"/>
        <w:rPr>
          <w:rFonts w:asciiTheme="minorHAnsi" w:eastAsiaTheme="minorHAnsi" w:hAnsiTheme="minorHAnsi" w:cstheme="minorHAnsi"/>
          <w:b/>
          <w:sz w:val="28"/>
          <w:szCs w:val="28"/>
        </w:rPr>
      </w:pPr>
      <w:r w:rsidRPr="004855E7">
        <w:rPr>
          <w:rFonts w:asciiTheme="minorHAnsi" w:eastAsiaTheme="minorHAnsi" w:hAnsiTheme="minorHAnsi" w:cstheme="minorHAnsi"/>
          <w:b/>
          <w:sz w:val="28"/>
          <w:szCs w:val="28"/>
        </w:rPr>
        <w:t>BACKGROUND</w:t>
      </w:r>
    </w:p>
    <w:p w14:paraId="461C4355" w14:textId="77777777" w:rsidR="00886B6F" w:rsidRPr="004855E7" w:rsidRDefault="00886B6F" w:rsidP="00886B6F">
      <w:pPr>
        <w:rPr>
          <w:rFonts w:asciiTheme="minorHAnsi" w:eastAsiaTheme="minorHAnsi" w:hAnsiTheme="minorHAnsi" w:cstheme="minorHAnsi"/>
          <w:sz w:val="24"/>
        </w:rPr>
      </w:pPr>
    </w:p>
    <w:p w14:paraId="454FE51A" w14:textId="77777777" w:rsidR="00886B6F" w:rsidRPr="004855E7" w:rsidRDefault="00886B6F" w:rsidP="00AE6D15">
      <w:pPr>
        <w:jc w:val="both"/>
        <w:rPr>
          <w:rFonts w:asciiTheme="minorHAnsi" w:eastAsiaTheme="minorHAnsi" w:hAnsiTheme="minorHAnsi" w:cstheme="minorHAnsi"/>
          <w:sz w:val="24"/>
        </w:rPr>
      </w:pPr>
      <w:r w:rsidRPr="004855E7">
        <w:rPr>
          <w:rFonts w:asciiTheme="minorHAnsi" w:eastAsiaTheme="minorHAnsi" w:hAnsiTheme="minorHAnsi" w:cstheme="minorHAnsi"/>
          <w:sz w:val="24"/>
        </w:rPr>
        <w:t xml:space="preserve">Title 1, Chapter 35 of the State of North Carolina’s Administrative Code spells out the rules for how state agencies and university system organizations can fundraise for charities.  </w:t>
      </w:r>
    </w:p>
    <w:p w14:paraId="2514EC64" w14:textId="77777777" w:rsidR="00886B6F" w:rsidRPr="004855E7" w:rsidRDefault="00886B6F" w:rsidP="00AE6D15">
      <w:pPr>
        <w:jc w:val="both"/>
        <w:rPr>
          <w:rFonts w:asciiTheme="minorHAnsi" w:eastAsiaTheme="minorHAnsi" w:hAnsiTheme="minorHAnsi" w:cstheme="minorHAnsi"/>
          <w:sz w:val="24"/>
        </w:rPr>
      </w:pPr>
    </w:p>
    <w:p w14:paraId="2EBD78EB" w14:textId="77777777" w:rsidR="00886B6F" w:rsidRPr="004855E7" w:rsidRDefault="00886B6F" w:rsidP="00AE6D15">
      <w:pPr>
        <w:jc w:val="both"/>
        <w:rPr>
          <w:rFonts w:asciiTheme="minorHAnsi" w:eastAsiaTheme="minorHAnsi" w:hAnsiTheme="minorHAnsi" w:cstheme="minorHAnsi"/>
          <w:sz w:val="24"/>
        </w:rPr>
      </w:pPr>
      <w:r w:rsidRPr="004855E7">
        <w:rPr>
          <w:rFonts w:asciiTheme="minorHAnsi" w:eastAsiaTheme="minorHAnsi" w:hAnsiTheme="minorHAnsi" w:cstheme="minorHAnsi"/>
          <w:sz w:val="24"/>
        </w:rPr>
        <w:t xml:space="preserve">The State Employees Combined Campaign, created in 1984, is outlined in Chapter 35 as </w:t>
      </w:r>
      <w:r w:rsidRPr="004855E7">
        <w:rPr>
          <w:rFonts w:asciiTheme="minorHAnsi" w:eastAsiaTheme="minorHAnsi" w:hAnsiTheme="minorHAnsi" w:cstheme="minorHAnsi"/>
          <w:sz w:val="24"/>
          <w:u w:val="single"/>
        </w:rPr>
        <w:t>the only campaign in the state employee workplace</w:t>
      </w:r>
      <w:r w:rsidRPr="004855E7">
        <w:rPr>
          <w:rFonts w:asciiTheme="minorHAnsi" w:eastAsiaTheme="minorHAnsi" w:hAnsiTheme="minorHAnsi" w:cstheme="minorHAnsi"/>
          <w:sz w:val="24"/>
        </w:rPr>
        <w:t xml:space="preserve"> and the only one that is authorized by the state for payroll deduction.</w:t>
      </w:r>
    </w:p>
    <w:p w14:paraId="35D498E0" w14:textId="77777777" w:rsidR="00886B6F" w:rsidRPr="004855E7" w:rsidRDefault="00886B6F" w:rsidP="00886B6F">
      <w:pPr>
        <w:rPr>
          <w:rFonts w:asciiTheme="minorHAnsi" w:eastAsiaTheme="minorHAnsi" w:hAnsiTheme="minorHAnsi" w:cstheme="minorHAnsi"/>
          <w:sz w:val="24"/>
        </w:rPr>
      </w:pPr>
    </w:p>
    <w:p w14:paraId="37F9AA7C" w14:textId="77777777" w:rsidR="00886B6F" w:rsidRPr="004855E7" w:rsidRDefault="00886B6F" w:rsidP="00886B6F">
      <w:pPr>
        <w:jc w:val="center"/>
        <w:rPr>
          <w:rFonts w:asciiTheme="minorHAnsi" w:eastAsiaTheme="minorHAnsi" w:hAnsiTheme="minorHAnsi" w:cstheme="minorHAnsi"/>
          <w:b/>
          <w:sz w:val="28"/>
          <w:szCs w:val="28"/>
        </w:rPr>
      </w:pPr>
      <w:r w:rsidRPr="004855E7">
        <w:rPr>
          <w:rFonts w:asciiTheme="minorHAnsi" w:eastAsiaTheme="minorHAnsi" w:hAnsiTheme="minorHAnsi" w:cstheme="minorHAnsi"/>
          <w:b/>
          <w:sz w:val="28"/>
          <w:szCs w:val="28"/>
        </w:rPr>
        <w:t>CHARITY EVENTS/FUNDRAISERS/SOLICITATION IN THE STATE WORKPLACE</w:t>
      </w:r>
    </w:p>
    <w:p w14:paraId="000E1A1D" w14:textId="77777777" w:rsidR="00886B6F" w:rsidRPr="004855E7" w:rsidRDefault="00886B6F" w:rsidP="00886B6F">
      <w:pPr>
        <w:rPr>
          <w:rFonts w:asciiTheme="minorHAnsi" w:eastAsiaTheme="minorHAnsi" w:hAnsiTheme="minorHAnsi" w:cstheme="minorHAnsi"/>
          <w:sz w:val="24"/>
        </w:rPr>
      </w:pPr>
    </w:p>
    <w:p w14:paraId="380C6D74" w14:textId="77777777" w:rsidR="00886B6F" w:rsidRPr="004855E7" w:rsidRDefault="00886B6F" w:rsidP="00886B6F">
      <w:pPr>
        <w:rPr>
          <w:rFonts w:asciiTheme="minorHAnsi" w:eastAsiaTheme="minorHAnsi" w:hAnsiTheme="minorHAnsi" w:cstheme="minorHAnsi"/>
          <w:b/>
          <w:i/>
          <w:sz w:val="24"/>
        </w:rPr>
      </w:pPr>
      <w:r w:rsidRPr="004855E7">
        <w:rPr>
          <w:rFonts w:asciiTheme="minorHAnsi" w:eastAsiaTheme="minorHAnsi" w:hAnsiTheme="minorHAnsi" w:cstheme="minorHAnsi"/>
          <w:b/>
          <w:i/>
          <w:sz w:val="24"/>
        </w:rPr>
        <w:t>WHAT IS ALLOWED?</w:t>
      </w:r>
    </w:p>
    <w:p w14:paraId="4FCFC758" w14:textId="77777777" w:rsidR="00886B6F" w:rsidRPr="004855E7" w:rsidRDefault="00886B6F" w:rsidP="00AE6D15">
      <w:pPr>
        <w:jc w:val="both"/>
        <w:rPr>
          <w:rFonts w:asciiTheme="minorHAnsi" w:eastAsiaTheme="minorHAnsi" w:hAnsiTheme="minorHAnsi" w:cstheme="minorHAnsi"/>
          <w:sz w:val="24"/>
        </w:rPr>
      </w:pPr>
      <w:r w:rsidRPr="004855E7">
        <w:rPr>
          <w:rFonts w:asciiTheme="minorHAnsi" w:eastAsiaTheme="minorHAnsi" w:hAnsiTheme="minorHAnsi" w:cstheme="minorHAnsi"/>
          <w:sz w:val="24"/>
        </w:rPr>
        <w:t>If and when a group of state employees, with approval from their Agency Head or University Chancellor, desires to conduct a charity-focused event as a means to empower employees and engage with (a) charity/charities, that group may plan and run these events ONLY for SECC-approved charities and ONLY if these events are disclosed to and approved by the SECC.</w:t>
      </w:r>
    </w:p>
    <w:p w14:paraId="711F5807" w14:textId="77777777" w:rsidR="00886B6F" w:rsidRPr="004855E7" w:rsidRDefault="00886B6F" w:rsidP="00886B6F">
      <w:pPr>
        <w:rPr>
          <w:rFonts w:asciiTheme="minorHAnsi" w:eastAsiaTheme="minorHAnsi" w:hAnsiTheme="minorHAnsi" w:cstheme="minorHAnsi"/>
          <w:sz w:val="24"/>
        </w:rPr>
      </w:pPr>
    </w:p>
    <w:p w14:paraId="5A80F54F" w14:textId="77777777" w:rsidR="00886B6F" w:rsidRPr="004855E7" w:rsidRDefault="00886B6F" w:rsidP="00AE6D15">
      <w:pPr>
        <w:jc w:val="both"/>
        <w:rPr>
          <w:rFonts w:asciiTheme="minorHAnsi" w:eastAsiaTheme="minorHAnsi" w:hAnsiTheme="minorHAnsi" w:cstheme="minorHAnsi"/>
          <w:sz w:val="24"/>
        </w:rPr>
      </w:pPr>
      <w:r w:rsidRPr="004855E7">
        <w:rPr>
          <w:rFonts w:asciiTheme="minorHAnsi" w:eastAsiaTheme="minorHAnsi" w:hAnsiTheme="minorHAnsi" w:cstheme="minorHAnsi"/>
          <w:sz w:val="24"/>
        </w:rPr>
        <w:t>Outside of the above outlined SECC-approved events, no charity, including SECC charities, may solicit state employees at their workplace or enter the state workplace to solicit or plan an event/fundraiser, including email to their workplace email address.</w:t>
      </w:r>
    </w:p>
    <w:p w14:paraId="204FBFC7" w14:textId="77777777" w:rsidR="00886B6F" w:rsidRPr="004855E7" w:rsidRDefault="00886B6F" w:rsidP="00886B6F">
      <w:pPr>
        <w:rPr>
          <w:rFonts w:asciiTheme="minorHAnsi" w:eastAsiaTheme="minorHAnsi" w:hAnsiTheme="minorHAnsi" w:cstheme="minorHAnsi"/>
          <w:sz w:val="24"/>
        </w:rPr>
      </w:pPr>
      <w:r w:rsidRPr="004855E7">
        <w:rPr>
          <w:rFonts w:asciiTheme="minorHAnsi" w:eastAsiaTheme="minorHAnsi" w:hAnsiTheme="minorHAnsi" w:cstheme="minorHAnsi"/>
          <w:noProof/>
          <w:sz w:val="24"/>
        </w:rPr>
        <mc:AlternateContent>
          <mc:Choice Requires="wps">
            <w:drawing>
              <wp:anchor distT="0" distB="0" distL="114300" distR="114300" simplePos="0" relativeHeight="251659264" behindDoc="1" locked="0" layoutInCell="1" allowOverlap="1" wp14:anchorId="7C61C76F" wp14:editId="4E2CF6E4">
                <wp:simplePos x="0" y="0"/>
                <wp:positionH relativeFrom="column">
                  <wp:posOffset>-88900</wp:posOffset>
                </wp:positionH>
                <wp:positionV relativeFrom="paragraph">
                  <wp:posOffset>144780</wp:posOffset>
                </wp:positionV>
                <wp:extent cx="6896100" cy="622300"/>
                <wp:effectExtent l="0" t="1905" r="3175" b="4445"/>
                <wp:wrapNone/>
                <wp:docPr id="1" name="Rectangle 2" descr="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622300"/>
                        </a:xfrm>
                        <a:prstGeom prst="rect">
                          <a:avLst/>
                        </a:prstGeom>
                        <a:pattFill prst="pct90">
                          <a:fgClr>
                            <a:sysClr val="window" lastClr="FFFFFF">
                              <a:lumMod val="95000"/>
                              <a:lumOff val="0"/>
                            </a:sysClr>
                          </a:fgClr>
                          <a:bgClr>
                            <a:sysClr val="window" lastClr="FFFFFF">
                              <a:lumMod val="95000"/>
                              <a:lumOff val="0"/>
                            </a:sysClr>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B5A2B" id="Rectangle 2" o:spid="_x0000_s1026" alt="90%" style="position:absolute;margin-left:-7pt;margin-top:11.4pt;width:543pt;height: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" fillcolor="#f2f2f2" stroked="f">
                <v:fill r:id="rId7" o:title="" color2="#f2f2f2" type="pattern"/>
              </v:rect>
            </w:pict>
          </mc:Fallback>
        </mc:AlternateContent>
      </w:r>
    </w:p>
    <w:p w14:paraId="2E7CF43C" w14:textId="77777777" w:rsidR="00886B6F" w:rsidRPr="004855E7" w:rsidRDefault="00886B6F" w:rsidP="00886B6F">
      <w:pPr>
        <w:ind w:left="288" w:right="288"/>
        <w:rPr>
          <w:rFonts w:asciiTheme="minorHAnsi" w:eastAsiaTheme="minorHAnsi" w:hAnsiTheme="minorHAnsi" w:cstheme="minorHAnsi"/>
          <w:b/>
          <w:i/>
          <w:sz w:val="24"/>
        </w:rPr>
      </w:pPr>
      <w:r w:rsidRPr="004855E7">
        <w:rPr>
          <w:rFonts w:asciiTheme="minorHAnsi" w:eastAsiaTheme="minorHAnsi" w:hAnsiTheme="minorHAnsi" w:cstheme="minorHAnsi"/>
          <w:b/>
          <w:i/>
          <w:sz w:val="24"/>
        </w:rPr>
        <w:t>State employees must be the ones to initiate the request for (a) charity-focused event/fundraiser and they must work within the rules of the State of North Carolina, and following approved operating procedures of the SECC.</w:t>
      </w:r>
    </w:p>
    <w:p w14:paraId="0AB26B74" w14:textId="77777777" w:rsidR="00886B6F" w:rsidRPr="004855E7" w:rsidRDefault="00886B6F" w:rsidP="00886B6F">
      <w:pPr>
        <w:rPr>
          <w:rFonts w:asciiTheme="minorHAnsi" w:eastAsiaTheme="minorHAnsi" w:hAnsiTheme="minorHAnsi" w:cstheme="minorHAnsi"/>
          <w:b/>
          <w:i/>
          <w:sz w:val="24"/>
        </w:rPr>
      </w:pPr>
    </w:p>
    <w:p w14:paraId="79D109D1" w14:textId="77777777" w:rsidR="00886B6F" w:rsidRPr="004855E7" w:rsidRDefault="00886B6F" w:rsidP="00AE6D15">
      <w:pPr>
        <w:jc w:val="both"/>
        <w:rPr>
          <w:rFonts w:asciiTheme="minorHAnsi" w:eastAsiaTheme="minorHAnsi" w:hAnsiTheme="minorHAnsi" w:cstheme="minorHAnsi"/>
          <w:sz w:val="24"/>
        </w:rPr>
      </w:pPr>
      <w:r w:rsidRPr="004855E7">
        <w:rPr>
          <w:rFonts w:asciiTheme="minorHAnsi" w:eastAsiaTheme="minorHAnsi" w:hAnsiTheme="minorHAnsi" w:cstheme="minorHAnsi"/>
          <w:sz w:val="24"/>
        </w:rPr>
        <w:t>The approved (by State Chair and State Advisory Committee) Operating Procedures for SECC Charity Events can be obtained from the SECC office.</w:t>
      </w:r>
    </w:p>
    <w:p w14:paraId="63729E78" w14:textId="77777777" w:rsidR="00886B6F" w:rsidRPr="004855E7" w:rsidRDefault="00886B6F" w:rsidP="00886B6F">
      <w:pPr>
        <w:rPr>
          <w:rFonts w:asciiTheme="minorHAnsi" w:eastAsiaTheme="minorHAnsi" w:hAnsiTheme="minorHAnsi" w:cstheme="minorHAnsi"/>
          <w:sz w:val="24"/>
        </w:rPr>
      </w:pPr>
    </w:p>
    <w:p w14:paraId="3F365210" w14:textId="77777777" w:rsidR="00886B6F" w:rsidRPr="004855E7" w:rsidRDefault="00886B6F" w:rsidP="00886B6F">
      <w:pPr>
        <w:rPr>
          <w:rFonts w:asciiTheme="minorHAnsi" w:eastAsiaTheme="minorHAnsi" w:hAnsiTheme="minorHAnsi" w:cstheme="minorHAnsi"/>
          <w:b/>
          <w:sz w:val="24"/>
        </w:rPr>
      </w:pPr>
      <w:r w:rsidRPr="004855E7">
        <w:rPr>
          <w:rFonts w:asciiTheme="minorHAnsi" w:eastAsiaTheme="minorHAnsi" w:hAnsiTheme="minorHAnsi" w:cstheme="minorHAnsi"/>
          <w:b/>
          <w:sz w:val="24"/>
        </w:rPr>
        <w:t>What can state employees do to plan a charity event?</w:t>
      </w:r>
    </w:p>
    <w:p w14:paraId="21F6FBF1" w14:textId="77777777" w:rsidR="00886B6F" w:rsidRPr="004855E7" w:rsidRDefault="00886B6F" w:rsidP="00AE6D15">
      <w:pPr>
        <w:jc w:val="both"/>
        <w:rPr>
          <w:rFonts w:asciiTheme="minorHAnsi" w:eastAsiaTheme="minorHAnsi" w:hAnsiTheme="minorHAnsi" w:cstheme="minorHAnsi"/>
          <w:sz w:val="24"/>
        </w:rPr>
      </w:pPr>
      <w:r w:rsidRPr="004855E7">
        <w:rPr>
          <w:rFonts w:asciiTheme="minorHAnsi" w:eastAsiaTheme="minorHAnsi" w:hAnsiTheme="minorHAnsi" w:cstheme="minorHAnsi"/>
          <w:sz w:val="24"/>
        </w:rPr>
        <w:t>Talk with SECC staff about the event before setting anything in stone to ensure it will be in compliance with the rules and the approved operating procedures.</w:t>
      </w:r>
    </w:p>
    <w:p w14:paraId="1B2C1502" w14:textId="77777777" w:rsidR="00886B6F" w:rsidRPr="004855E7" w:rsidRDefault="00886B6F" w:rsidP="00886B6F">
      <w:pPr>
        <w:rPr>
          <w:rFonts w:asciiTheme="minorHAnsi" w:eastAsiaTheme="minorHAnsi" w:hAnsiTheme="minorHAnsi" w:cstheme="minorHAnsi"/>
          <w:sz w:val="24"/>
        </w:rPr>
      </w:pPr>
    </w:p>
    <w:p w14:paraId="052EBA02" w14:textId="77777777" w:rsidR="00886B6F" w:rsidRPr="004855E7" w:rsidRDefault="00886B6F" w:rsidP="00886B6F">
      <w:pPr>
        <w:rPr>
          <w:rFonts w:asciiTheme="minorHAnsi" w:eastAsiaTheme="minorHAnsi" w:hAnsiTheme="minorHAnsi" w:cstheme="minorHAnsi"/>
          <w:b/>
          <w:sz w:val="24"/>
        </w:rPr>
      </w:pPr>
      <w:r w:rsidRPr="004855E7">
        <w:rPr>
          <w:rFonts w:asciiTheme="minorHAnsi" w:eastAsiaTheme="minorHAnsi" w:hAnsiTheme="minorHAnsi" w:cstheme="minorHAnsi"/>
          <w:b/>
          <w:sz w:val="24"/>
        </w:rPr>
        <w:t>Do the funds raised need to be given directly to the SECC?</w:t>
      </w:r>
    </w:p>
    <w:p w14:paraId="6CA28EC1" w14:textId="2B21B1C2" w:rsidR="00886B6F" w:rsidRPr="004855E7" w:rsidRDefault="00886B6F" w:rsidP="00AE6D15">
      <w:pPr>
        <w:jc w:val="both"/>
        <w:rPr>
          <w:rFonts w:asciiTheme="minorHAnsi" w:eastAsiaTheme="minorHAnsi" w:hAnsiTheme="minorHAnsi" w:cstheme="minorHAnsi"/>
          <w:sz w:val="24"/>
        </w:rPr>
      </w:pPr>
      <w:r w:rsidRPr="004855E7">
        <w:rPr>
          <w:rFonts w:asciiTheme="minorHAnsi" w:eastAsiaTheme="minorHAnsi" w:hAnsiTheme="minorHAnsi" w:cstheme="minorHAnsi"/>
          <w:sz w:val="24"/>
        </w:rPr>
        <w:t>Yes. This is outlined in the Operating Procedures that were approved by the SECC Chair and the State Advisory Committee. The donations will be treated as one designated contribution, classified as an event.</w:t>
      </w:r>
    </w:p>
    <w:p w14:paraId="334B6C83" w14:textId="77777777" w:rsidR="00886B6F" w:rsidRPr="004855E7" w:rsidRDefault="00886B6F" w:rsidP="00886B6F">
      <w:pPr>
        <w:rPr>
          <w:rFonts w:asciiTheme="minorHAnsi" w:eastAsiaTheme="minorHAnsi" w:hAnsiTheme="minorHAnsi" w:cstheme="minorHAnsi"/>
          <w:sz w:val="24"/>
        </w:rPr>
      </w:pPr>
    </w:p>
    <w:p w14:paraId="6F8EB4BB" w14:textId="77777777" w:rsidR="00886B6F" w:rsidRPr="004855E7" w:rsidRDefault="00886B6F" w:rsidP="00886B6F">
      <w:pPr>
        <w:rPr>
          <w:rFonts w:asciiTheme="minorHAnsi" w:eastAsiaTheme="minorHAnsi" w:hAnsiTheme="minorHAnsi" w:cstheme="minorHAnsi"/>
          <w:b/>
          <w:sz w:val="24"/>
        </w:rPr>
      </w:pPr>
      <w:r w:rsidRPr="004855E7">
        <w:rPr>
          <w:rFonts w:asciiTheme="minorHAnsi" w:eastAsiaTheme="minorHAnsi" w:hAnsiTheme="minorHAnsi" w:cstheme="minorHAnsi"/>
          <w:b/>
          <w:sz w:val="24"/>
        </w:rPr>
        <w:t>Will there be an administrative fee?</w:t>
      </w:r>
    </w:p>
    <w:p w14:paraId="50B84D4A" w14:textId="387E8790" w:rsidR="00886B6F" w:rsidRPr="004855E7" w:rsidRDefault="00886B6F" w:rsidP="00886B6F">
      <w:pPr>
        <w:rPr>
          <w:rFonts w:asciiTheme="minorHAnsi" w:eastAsiaTheme="minorHAnsi" w:hAnsiTheme="minorHAnsi" w:cstheme="minorHAnsi"/>
          <w:sz w:val="24"/>
        </w:rPr>
      </w:pPr>
      <w:r w:rsidRPr="004855E7">
        <w:rPr>
          <w:rFonts w:asciiTheme="minorHAnsi" w:eastAsiaTheme="minorHAnsi" w:hAnsiTheme="minorHAnsi" w:cstheme="minorHAnsi"/>
          <w:sz w:val="24"/>
        </w:rPr>
        <w:t>Yes. The monies will be treated as a single event contribution and 1</w:t>
      </w:r>
      <w:r w:rsidR="00A81934" w:rsidRPr="004855E7">
        <w:rPr>
          <w:rFonts w:asciiTheme="minorHAnsi" w:eastAsiaTheme="minorHAnsi" w:hAnsiTheme="minorHAnsi" w:cstheme="minorHAnsi"/>
          <w:sz w:val="24"/>
        </w:rPr>
        <w:t>1</w:t>
      </w:r>
      <w:r w:rsidRPr="004855E7">
        <w:rPr>
          <w:rFonts w:asciiTheme="minorHAnsi" w:eastAsiaTheme="minorHAnsi" w:hAnsiTheme="minorHAnsi" w:cstheme="minorHAnsi"/>
          <w:sz w:val="24"/>
        </w:rPr>
        <w:t xml:space="preserve">% will be deducted.  </w:t>
      </w:r>
    </w:p>
    <w:p w14:paraId="4979E42D" w14:textId="77777777" w:rsidR="00886B6F" w:rsidRPr="004855E7" w:rsidRDefault="00886B6F" w:rsidP="00886B6F">
      <w:pPr>
        <w:rPr>
          <w:rFonts w:asciiTheme="minorHAnsi" w:eastAsiaTheme="minorHAnsi" w:hAnsiTheme="minorHAnsi" w:cstheme="minorHAnsi"/>
          <w:sz w:val="24"/>
        </w:rPr>
      </w:pPr>
    </w:p>
    <w:p w14:paraId="64337972" w14:textId="77777777" w:rsidR="00886B6F" w:rsidRPr="004855E7" w:rsidRDefault="00886B6F" w:rsidP="00886B6F">
      <w:pPr>
        <w:rPr>
          <w:rFonts w:asciiTheme="minorHAnsi" w:eastAsiaTheme="minorHAnsi" w:hAnsiTheme="minorHAnsi" w:cstheme="minorHAnsi"/>
          <w:b/>
          <w:sz w:val="24"/>
        </w:rPr>
      </w:pPr>
      <w:r w:rsidRPr="004855E7">
        <w:rPr>
          <w:rFonts w:asciiTheme="minorHAnsi" w:eastAsiaTheme="minorHAnsi" w:hAnsiTheme="minorHAnsi" w:cstheme="minorHAnsi"/>
          <w:b/>
          <w:sz w:val="24"/>
        </w:rPr>
        <w:t>Why aren’t charities allowed to approach us in the state employee workplace, even if the event will ultimately be somewhere else?</w:t>
      </w:r>
    </w:p>
    <w:p w14:paraId="25C70838" w14:textId="77777777" w:rsidR="00886B6F" w:rsidRPr="004855E7" w:rsidRDefault="00886B6F" w:rsidP="00AE6D15">
      <w:pPr>
        <w:jc w:val="both"/>
        <w:rPr>
          <w:rFonts w:asciiTheme="minorHAnsi" w:eastAsiaTheme="minorHAnsi" w:hAnsiTheme="minorHAnsi" w:cstheme="minorHAnsi"/>
          <w:sz w:val="24"/>
        </w:rPr>
      </w:pPr>
      <w:r w:rsidRPr="004855E7">
        <w:rPr>
          <w:rFonts w:asciiTheme="minorHAnsi" w:eastAsiaTheme="minorHAnsi" w:hAnsiTheme="minorHAnsi" w:cstheme="minorHAnsi"/>
          <w:sz w:val="24"/>
        </w:rPr>
        <w:t>Planning a charity event is considered campaigning, and the SECC is the only one permitted in the state workplace.</w:t>
      </w:r>
    </w:p>
    <w:p w14:paraId="5F932535" w14:textId="6F99C38E" w:rsidR="00886B6F" w:rsidRDefault="00886B6F" w:rsidP="00886B6F">
      <w:pPr>
        <w:rPr>
          <w:rFonts w:asciiTheme="minorHAnsi" w:eastAsiaTheme="minorHAnsi" w:hAnsiTheme="minorHAnsi" w:cstheme="minorHAnsi"/>
          <w:sz w:val="24"/>
        </w:rPr>
      </w:pPr>
    </w:p>
    <w:p w14:paraId="78F01BCA" w14:textId="77777777" w:rsidR="004855E7" w:rsidRPr="004855E7" w:rsidRDefault="004855E7" w:rsidP="00886B6F">
      <w:pPr>
        <w:rPr>
          <w:rFonts w:asciiTheme="minorHAnsi" w:eastAsiaTheme="minorHAnsi" w:hAnsiTheme="minorHAnsi" w:cstheme="minorHAnsi"/>
          <w:sz w:val="24"/>
        </w:rPr>
      </w:pPr>
    </w:p>
    <w:p w14:paraId="2B074C6E" w14:textId="77777777" w:rsidR="00886B6F" w:rsidRPr="004855E7" w:rsidRDefault="00886B6F" w:rsidP="00886B6F">
      <w:pPr>
        <w:rPr>
          <w:rFonts w:asciiTheme="minorHAnsi" w:eastAsiaTheme="minorHAnsi" w:hAnsiTheme="minorHAnsi" w:cstheme="minorHAnsi"/>
          <w:b/>
          <w:sz w:val="24"/>
        </w:rPr>
      </w:pPr>
      <w:r w:rsidRPr="004855E7">
        <w:rPr>
          <w:rFonts w:asciiTheme="minorHAnsi" w:eastAsiaTheme="minorHAnsi" w:hAnsiTheme="minorHAnsi" w:cstheme="minorHAnsi"/>
          <w:b/>
          <w:sz w:val="24"/>
        </w:rPr>
        <w:lastRenderedPageBreak/>
        <w:t>Why do state employees have to get charity events approved?</w:t>
      </w:r>
    </w:p>
    <w:p w14:paraId="520BDA32" w14:textId="4AD52050" w:rsidR="00886B6F" w:rsidRPr="004855E7" w:rsidRDefault="00886B6F" w:rsidP="00AE6D15">
      <w:pPr>
        <w:jc w:val="both"/>
        <w:rPr>
          <w:rFonts w:asciiTheme="minorHAnsi" w:eastAsiaTheme="minorHAnsi" w:hAnsiTheme="minorHAnsi" w:cstheme="minorHAnsi"/>
          <w:sz w:val="24"/>
        </w:rPr>
      </w:pPr>
      <w:r w:rsidRPr="004855E7">
        <w:rPr>
          <w:rFonts w:asciiTheme="minorHAnsi" w:eastAsiaTheme="minorHAnsi" w:hAnsiTheme="minorHAnsi" w:cstheme="minorHAnsi"/>
          <w:sz w:val="24"/>
        </w:rPr>
        <w:t>The existing rules are in place to protect the stat</w:t>
      </w:r>
      <w:r w:rsidR="00AE6D15" w:rsidRPr="004855E7">
        <w:rPr>
          <w:rFonts w:asciiTheme="minorHAnsi" w:eastAsiaTheme="minorHAnsi" w:hAnsiTheme="minorHAnsi" w:cstheme="minorHAnsi"/>
          <w:sz w:val="24"/>
        </w:rPr>
        <w:t xml:space="preserve">e workplace and its employees. </w:t>
      </w:r>
      <w:r w:rsidRPr="004855E7">
        <w:rPr>
          <w:rFonts w:asciiTheme="minorHAnsi" w:eastAsiaTheme="minorHAnsi" w:hAnsiTheme="minorHAnsi" w:cstheme="minorHAnsi"/>
          <w:sz w:val="24"/>
        </w:rPr>
        <w:t>Working through the SECC helps to ensure accountability and fairness.</w:t>
      </w:r>
    </w:p>
    <w:p w14:paraId="2BBE9FE2" w14:textId="77777777" w:rsidR="00886B6F" w:rsidRPr="004855E7" w:rsidRDefault="00886B6F" w:rsidP="00886B6F">
      <w:pPr>
        <w:rPr>
          <w:rFonts w:asciiTheme="minorHAnsi" w:eastAsiaTheme="minorHAnsi" w:hAnsiTheme="minorHAnsi" w:cstheme="minorHAnsi"/>
          <w:sz w:val="24"/>
        </w:rPr>
      </w:pPr>
    </w:p>
    <w:p w14:paraId="4B087446" w14:textId="77777777" w:rsidR="00886B6F" w:rsidRPr="004855E7" w:rsidRDefault="00886B6F" w:rsidP="00886B6F">
      <w:pPr>
        <w:rPr>
          <w:rFonts w:asciiTheme="minorHAnsi" w:eastAsiaTheme="minorHAnsi" w:hAnsiTheme="minorHAnsi" w:cstheme="minorHAnsi"/>
          <w:b/>
          <w:sz w:val="24"/>
        </w:rPr>
      </w:pPr>
      <w:r w:rsidRPr="004855E7">
        <w:rPr>
          <w:rFonts w:asciiTheme="minorHAnsi" w:eastAsiaTheme="minorHAnsi" w:hAnsiTheme="minorHAnsi" w:cstheme="minorHAnsi"/>
          <w:b/>
          <w:sz w:val="24"/>
        </w:rPr>
        <w:t>What CAN approved SECC charities do to promote themselves to state employees?</w:t>
      </w:r>
    </w:p>
    <w:p w14:paraId="1E616CBC" w14:textId="77777777" w:rsidR="00886B6F" w:rsidRPr="004855E7" w:rsidRDefault="00886B6F" w:rsidP="00886B6F">
      <w:pPr>
        <w:rPr>
          <w:rFonts w:asciiTheme="minorHAnsi" w:eastAsiaTheme="minorHAnsi" w:hAnsiTheme="minorHAnsi" w:cstheme="minorHAnsi"/>
          <w:b/>
          <w:sz w:val="24"/>
        </w:rPr>
      </w:pPr>
    </w:p>
    <w:p w14:paraId="1A9530D4" w14:textId="77777777" w:rsidR="00886B6F" w:rsidRPr="004855E7" w:rsidRDefault="00886B6F" w:rsidP="00886B6F">
      <w:pPr>
        <w:numPr>
          <w:ilvl w:val="0"/>
          <w:numId w:val="8"/>
        </w:numPr>
        <w:contextualSpacing/>
        <w:rPr>
          <w:rFonts w:asciiTheme="minorHAnsi" w:eastAsiaTheme="minorHAnsi" w:hAnsiTheme="minorHAnsi" w:cstheme="minorHAnsi"/>
          <w:sz w:val="24"/>
        </w:rPr>
      </w:pPr>
      <w:r w:rsidRPr="004855E7">
        <w:rPr>
          <w:rFonts w:asciiTheme="minorHAnsi" w:eastAsiaTheme="minorHAnsi" w:hAnsiTheme="minorHAnsi" w:cstheme="minorHAnsi"/>
          <w:sz w:val="24"/>
        </w:rPr>
        <w:t>Share that you are an approved SECC charity on all of your existing communication methods – newsletters, websites especially and share your SECC code.  Example:  Did you know that we are an approved SECC charity for YEAR?  If you are a state employee, designate us (Code #####) to receive your SECC gift.</w:t>
      </w:r>
    </w:p>
    <w:p w14:paraId="687F0842" w14:textId="77777777" w:rsidR="00886B6F" w:rsidRPr="004855E7" w:rsidRDefault="00886B6F" w:rsidP="00886B6F">
      <w:pPr>
        <w:rPr>
          <w:rFonts w:asciiTheme="minorHAnsi" w:eastAsiaTheme="minorHAnsi" w:hAnsiTheme="minorHAnsi" w:cstheme="minorHAnsi"/>
          <w:sz w:val="10"/>
          <w:szCs w:val="10"/>
        </w:rPr>
      </w:pPr>
    </w:p>
    <w:p w14:paraId="6C6CC49C" w14:textId="77777777" w:rsidR="00886B6F" w:rsidRPr="004855E7" w:rsidRDefault="00886B6F" w:rsidP="00886B6F">
      <w:pPr>
        <w:numPr>
          <w:ilvl w:val="0"/>
          <w:numId w:val="8"/>
        </w:numPr>
        <w:contextualSpacing/>
        <w:rPr>
          <w:rFonts w:asciiTheme="minorHAnsi" w:eastAsiaTheme="minorHAnsi" w:hAnsiTheme="minorHAnsi" w:cstheme="minorHAnsi"/>
          <w:sz w:val="24"/>
        </w:rPr>
      </w:pPr>
      <w:r w:rsidRPr="004855E7">
        <w:rPr>
          <w:rFonts w:asciiTheme="minorHAnsi" w:eastAsiaTheme="minorHAnsi" w:hAnsiTheme="minorHAnsi" w:cstheme="minorHAnsi"/>
          <w:sz w:val="24"/>
        </w:rPr>
        <w:t>Talk-up the fact (to your board and your community/communities) that you are an approved SECC charity.  Not all charities meet the criteria to participate and you should be proud that you qualify.</w:t>
      </w:r>
    </w:p>
    <w:p w14:paraId="23BF7F72" w14:textId="77777777" w:rsidR="00886B6F" w:rsidRPr="004855E7" w:rsidRDefault="00886B6F" w:rsidP="00886B6F">
      <w:pPr>
        <w:rPr>
          <w:rFonts w:asciiTheme="minorHAnsi" w:eastAsiaTheme="minorHAnsi" w:hAnsiTheme="minorHAnsi" w:cstheme="minorHAnsi"/>
          <w:sz w:val="10"/>
          <w:szCs w:val="10"/>
        </w:rPr>
      </w:pPr>
    </w:p>
    <w:p w14:paraId="04890C1D" w14:textId="1BE6D97E" w:rsidR="00886B6F" w:rsidRPr="004855E7" w:rsidRDefault="00886B6F" w:rsidP="00886B6F">
      <w:pPr>
        <w:numPr>
          <w:ilvl w:val="0"/>
          <w:numId w:val="8"/>
        </w:numPr>
        <w:contextualSpacing/>
        <w:rPr>
          <w:rFonts w:asciiTheme="minorHAnsi" w:eastAsiaTheme="minorHAnsi" w:hAnsiTheme="minorHAnsi" w:cstheme="minorHAnsi"/>
          <w:sz w:val="24"/>
        </w:rPr>
      </w:pPr>
      <w:r w:rsidRPr="004855E7">
        <w:rPr>
          <w:rFonts w:asciiTheme="minorHAnsi" w:eastAsiaTheme="minorHAnsi" w:hAnsiTheme="minorHAnsi" w:cstheme="minorHAnsi"/>
          <w:sz w:val="24"/>
        </w:rPr>
        <w:t xml:space="preserve">Encourage your board members and other volunteers who ARE state employees to get involved in their workplace SECC </w:t>
      </w:r>
      <w:r w:rsidR="00AE6D15" w:rsidRPr="004855E7">
        <w:rPr>
          <w:rFonts w:asciiTheme="minorHAnsi" w:eastAsiaTheme="minorHAnsi" w:hAnsiTheme="minorHAnsi" w:cstheme="minorHAnsi"/>
          <w:sz w:val="24"/>
        </w:rPr>
        <w:t xml:space="preserve">as a campaign volunteer. </w:t>
      </w:r>
      <w:r w:rsidRPr="004855E7">
        <w:rPr>
          <w:rFonts w:asciiTheme="minorHAnsi" w:eastAsiaTheme="minorHAnsi" w:hAnsiTheme="minorHAnsi" w:cstheme="minorHAnsi"/>
          <w:sz w:val="24"/>
        </w:rPr>
        <w:t>Engaged community volunteers make the best SECC volunteers!</w:t>
      </w:r>
    </w:p>
    <w:p w14:paraId="18A263E4" w14:textId="77777777" w:rsidR="00886B6F" w:rsidRPr="004855E7" w:rsidRDefault="00886B6F" w:rsidP="00886B6F">
      <w:pPr>
        <w:ind w:left="720"/>
        <w:contextualSpacing/>
        <w:rPr>
          <w:rFonts w:asciiTheme="minorHAnsi" w:eastAsiaTheme="minorHAnsi" w:hAnsiTheme="minorHAnsi" w:cstheme="minorHAnsi"/>
          <w:sz w:val="10"/>
          <w:szCs w:val="10"/>
        </w:rPr>
      </w:pPr>
    </w:p>
    <w:p w14:paraId="28DEF3E0" w14:textId="77777777" w:rsidR="00886B6F" w:rsidRPr="004855E7" w:rsidRDefault="00886B6F" w:rsidP="00886B6F">
      <w:pPr>
        <w:numPr>
          <w:ilvl w:val="0"/>
          <w:numId w:val="8"/>
        </w:numPr>
        <w:contextualSpacing/>
        <w:rPr>
          <w:rFonts w:asciiTheme="minorHAnsi" w:eastAsiaTheme="minorHAnsi" w:hAnsiTheme="minorHAnsi" w:cstheme="minorHAnsi"/>
          <w:sz w:val="24"/>
        </w:rPr>
      </w:pPr>
      <w:r w:rsidRPr="004855E7">
        <w:rPr>
          <w:rFonts w:asciiTheme="minorHAnsi" w:eastAsiaTheme="minorHAnsi" w:hAnsiTheme="minorHAnsi" w:cstheme="minorHAnsi"/>
          <w:sz w:val="24"/>
        </w:rPr>
        <w:t>Respond to the SECC’s requests for charity fair participants when it will work for you.  This will provide visibility and awareness for your charity.  You are permitted to promote your charity and your SECC code on materials that you share with state employees.  DEMONSTRATE YOUR IMPACT ON THE QUALITY OF LIFE FOR NC, feature NC residents who were helped or NC residents who volunteer – Better yet, if you have stories about state employees, share them at these events.</w:t>
      </w:r>
    </w:p>
    <w:p w14:paraId="0C3EAE3F" w14:textId="77777777" w:rsidR="00886B6F" w:rsidRPr="004855E7" w:rsidRDefault="00886B6F" w:rsidP="00886B6F">
      <w:pPr>
        <w:ind w:left="720"/>
        <w:contextualSpacing/>
        <w:rPr>
          <w:rFonts w:asciiTheme="minorHAnsi" w:eastAsiaTheme="minorHAnsi" w:hAnsiTheme="minorHAnsi" w:cstheme="minorHAnsi"/>
          <w:sz w:val="24"/>
        </w:rPr>
      </w:pPr>
    </w:p>
    <w:p w14:paraId="0A33B2DF" w14:textId="22F3F68C" w:rsidR="00886B6F" w:rsidRPr="004855E7" w:rsidRDefault="00886B6F" w:rsidP="00886B6F">
      <w:pPr>
        <w:rPr>
          <w:rFonts w:asciiTheme="minorHAnsi" w:eastAsiaTheme="minorHAnsi" w:hAnsiTheme="minorHAnsi" w:cstheme="minorHAnsi"/>
          <w:sz w:val="24"/>
        </w:rPr>
      </w:pPr>
    </w:p>
    <w:sectPr w:rsidR="00886B6F" w:rsidRPr="004855E7" w:rsidSect="0007085C">
      <w:headerReference w:type="even" r:id="rId8"/>
      <w:headerReference w:type="default" r:id="rId9"/>
      <w:footerReference w:type="first" r:id="rId10"/>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01569" w14:textId="77777777" w:rsidR="00831F05" w:rsidRDefault="00831F05">
      <w:r>
        <w:separator/>
      </w:r>
    </w:p>
  </w:endnote>
  <w:endnote w:type="continuationSeparator" w:id="0">
    <w:p w14:paraId="66873899" w14:textId="77777777" w:rsidR="00831F05" w:rsidRDefault="0083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19C81" w14:textId="77777777" w:rsidR="00654BF3" w:rsidRDefault="00654BF3" w:rsidP="00384482">
    <w:pPr>
      <w:pStyle w:val="Footer"/>
      <w:jc w:val="center"/>
    </w:pPr>
    <w:r>
      <w:t xml:space="preserve">Page </w:t>
    </w:r>
    <w:r w:rsidR="00F40C52">
      <w:fldChar w:fldCharType="begin"/>
    </w:r>
    <w:r w:rsidR="00F40C52">
      <w:instrText xml:space="preserve"> PAGE </w:instrText>
    </w:r>
    <w:r w:rsidR="00F40C52">
      <w:fldChar w:fldCharType="separate"/>
    </w:r>
    <w:r>
      <w:rPr>
        <w:noProof/>
      </w:rPr>
      <w:t>3</w:t>
    </w:r>
    <w:r w:rsidR="00F40C52">
      <w:rPr>
        <w:noProof/>
      </w:rPr>
      <w:fldChar w:fldCharType="end"/>
    </w:r>
    <w:r>
      <w:t xml:space="preserve"> of </w:t>
    </w:r>
    <w:r w:rsidR="00831F05">
      <w:fldChar w:fldCharType="begin"/>
    </w:r>
    <w:r w:rsidR="00831F05">
      <w:instrText xml:space="preserve"> NUMPAGES </w:instrText>
    </w:r>
    <w:r w:rsidR="00831F05">
      <w:fldChar w:fldCharType="separate"/>
    </w:r>
    <w:r w:rsidR="00DF2FF2">
      <w:rPr>
        <w:noProof/>
      </w:rPr>
      <w:t>4</w:t>
    </w:r>
    <w:r w:rsidR="00831F0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B081D" w14:textId="77777777" w:rsidR="00831F05" w:rsidRDefault="00831F05">
      <w:r>
        <w:separator/>
      </w:r>
    </w:p>
  </w:footnote>
  <w:footnote w:type="continuationSeparator" w:id="0">
    <w:p w14:paraId="7AE7ED03" w14:textId="77777777" w:rsidR="00831F05" w:rsidRDefault="00831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F2E76" w14:textId="77777777" w:rsidR="00654BF3" w:rsidRDefault="00A8662C">
    <w:pPr>
      <w:pStyle w:val="Header"/>
      <w:framePr w:wrap="around" w:vAnchor="text" w:hAnchor="margin" w:xAlign="right" w:y="1"/>
      <w:rPr>
        <w:rStyle w:val="PageNumber"/>
      </w:rPr>
    </w:pPr>
    <w:r>
      <w:rPr>
        <w:rStyle w:val="PageNumber"/>
      </w:rPr>
      <w:fldChar w:fldCharType="begin"/>
    </w:r>
    <w:r w:rsidR="00654BF3">
      <w:rPr>
        <w:rStyle w:val="PageNumber"/>
      </w:rPr>
      <w:instrText xml:space="preserve">PAGE  </w:instrText>
    </w:r>
    <w:r>
      <w:rPr>
        <w:rStyle w:val="PageNumber"/>
      </w:rPr>
      <w:fldChar w:fldCharType="separate"/>
    </w:r>
    <w:r w:rsidR="00654BF3">
      <w:rPr>
        <w:rStyle w:val="PageNumber"/>
        <w:noProof/>
      </w:rPr>
      <w:t>3</w:t>
    </w:r>
    <w:r>
      <w:rPr>
        <w:rStyle w:val="PageNumber"/>
      </w:rPr>
      <w:fldChar w:fldCharType="end"/>
    </w:r>
  </w:p>
  <w:p w14:paraId="58B63CAF" w14:textId="77777777" w:rsidR="00654BF3" w:rsidRDefault="00654BF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53EF1" w14:textId="77777777" w:rsidR="00654BF3" w:rsidRPr="00D2592F" w:rsidRDefault="00654BF3" w:rsidP="00735333">
    <w:pPr>
      <w:pStyle w:val="Header"/>
      <w:ind w:right="36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E2357"/>
    <w:multiLevelType w:val="hybridMultilevel"/>
    <w:tmpl w:val="95520FAA"/>
    <w:lvl w:ilvl="0" w:tplc="14CC504A">
      <w:start w:val="1"/>
      <w:numFmt w:val="bullet"/>
      <w:lvlText w:val=""/>
      <w:lvlJc w:val="left"/>
      <w:pPr>
        <w:tabs>
          <w:tab w:val="num" w:pos="1188"/>
        </w:tabs>
        <w:ind w:left="1476" w:hanging="396"/>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9EB674F"/>
    <w:multiLevelType w:val="hybridMultilevel"/>
    <w:tmpl w:val="01E62802"/>
    <w:lvl w:ilvl="0" w:tplc="14CC504A">
      <w:start w:val="1"/>
      <w:numFmt w:val="bullet"/>
      <w:lvlText w:val=""/>
      <w:lvlJc w:val="left"/>
      <w:pPr>
        <w:tabs>
          <w:tab w:val="num" w:pos="1188"/>
        </w:tabs>
        <w:ind w:left="1476" w:hanging="396"/>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3DC4D06"/>
    <w:multiLevelType w:val="hybridMultilevel"/>
    <w:tmpl w:val="5AD4FBEA"/>
    <w:lvl w:ilvl="0" w:tplc="D4F8A420">
      <w:start w:val="1"/>
      <w:numFmt w:val="bullet"/>
      <w:lvlText w:val=""/>
      <w:lvlJc w:val="left"/>
      <w:pPr>
        <w:tabs>
          <w:tab w:val="num" w:pos="720"/>
        </w:tabs>
        <w:ind w:left="720" w:hanging="360"/>
      </w:pPr>
      <w:rPr>
        <w:rFonts w:ascii="Wingdings" w:hAnsi="Wingdings" w:hint="default"/>
        <w:sz w:val="24"/>
      </w:rPr>
    </w:lvl>
    <w:lvl w:ilvl="1" w:tplc="5F3CF902">
      <w:start w:val="1"/>
      <w:numFmt w:val="bullet"/>
      <w:lvlText w:val=""/>
      <w:lvlJc w:val="left"/>
      <w:pPr>
        <w:tabs>
          <w:tab w:val="num" w:pos="1584"/>
        </w:tabs>
        <w:ind w:left="1584" w:hanging="50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1700FC"/>
    <w:multiLevelType w:val="multilevel"/>
    <w:tmpl w:val="F098A2DA"/>
    <w:lvl w:ilvl="0">
      <w:start w:val="1"/>
      <w:numFmt w:val="lowerLetter"/>
      <w:lvlText w:val="(%1)"/>
      <w:lvlJc w:val="left"/>
      <w:pPr>
        <w:tabs>
          <w:tab w:val="num" w:pos="720"/>
        </w:tabs>
        <w:ind w:left="720" w:hanging="720"/>
      </w:pPr>
      <w:rPr>
        <w:rFonts w:hint="default"/>
        <w:i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65257B2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71744F44"/>
    <w:multiLevelType w:val="hybridMultilevel"/>
    <w:tmpl w:val="F656C13E"/>
    <w:lvl w:ilvl="0" w:tplc="04090001">
      <w:start w:val="1"/>
      <w:numFmt w:val="bullet"/>
      <w:lvlText w:val=""/>
      <w:lvlJc w:val="left"/>
      <w:pPr>
        <w:ind w:left="720" w:hanging="360"/>
      </w:pPr>
      <w:rPr>
        <w:rFonts w:ascii="Symbol" w:hAnsi="Symbol" w:hint="default"/>
      </w:rPr>
    </w:lvl>
    <w:lvl w:ilvl="1" w:tplc="DF8CA276">
      <w:numFmt w:val="bullet"/>
      <w:lvlText w:val=""/>
      <w:lvlJc w:val="left"/>
      <w:pPr>
        <w:ind w:left="1660" w:hanging="580"/>
      </w:pPr>
      <w:rPr>
        <w:rFonts w:ascii="Wingdings" w:eastAsiaTheme="minorHAnsi" w:hAnsi="Wingdings" w:cstheme="minorBidi" w:hint="default"/>
        <w:sz w:val="5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CC7EDF"/>
    <w:multiLevelType w:val="hybridMultilevel"/>
    <w:tmpl w:val="B4AE1C64"/>
    <w:lvl w:ilvl="0" w:tplc="D4F8A420">
      <w:start w:val="1"/>
      <w:numFmt w:val="bullet"/>
      <w:lvlText w:val=""/>
      <w:lvlJc w:val="left"/>
      <w:pPr>
        <w:tabs>
          <w:tab w:val="num" w:pos="720"/>
        </w:tabs>
        <w:ind w:left="720" w:hanging="360"/>
      </w:pPr>
      <w:rPr>
        <w:rFonts w:ascii="Wingdings" w:hAnsi="Wingdings" w:hint="default"/>
        <w:sz w:val="24"/>
      </w:rPr>
    </w:lvl>
    <w:lvl w:ilvl="1" w:tplc="5F3CF902">
      <w:start w:val="1"/>
      <w:numFmt w:val="bullet"/>
      <w:lvlText w:val=""/>
      <w:lvlJc w:val="left"/>
      <w:pPr>
        <w:tabs>
          <w:tab w:val="num" w:pos="1584"/>
        </w:tabs>
        <w:ind w:left="1584" w:hanging="504"/>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897277"/>
    <w:multiLevelType w:val="hybridMultilevel"/>
    <w:tmpl w:val="3B021B72"/>
    <w:lvl w:ilvl="0" w:tplc="D4F8A42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B80A06"/>
    <w:multiLevelType w:val="hybridMultilevel"/>
    <w:tmpl w:val="5A5E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3"/>
  </w:num>
  <w:num w:numId="5">
    <w:abstractNumId w:val="4"/>
  </w:num>
  <w:num w:numId="6">
    <w:abstractNumId w:val="0"/>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F16"/>
    <w:rsid w:val="0000144F"/>
    <w:rsid w:val="00022B1B"/>
    <w:rsid w:val="000273A3"/>
    <w:rsid w:val="00027FC6"/>
    <w:rsid w:val="00035D8A"/>
    <w:rsid w:val="00043570"/>
    <w:rsid w:val="00060D3D"/>
    <w:rsid w:val="0007085C"/>
    <w:rsid w:val="00084278"/>
    <w:rsid w:val="00084B88"/>
    <w:rsid w:val="00094E9D"/>
    <w:rsid w:val="000B4B24"/>
    <w:rsid w:val="000E4023"/>
    <w:rsid w:val="000F3CCB"/>
    <w:rsid w:val="00103FB5"/>
    <w:rsid w:val="00105C63"/>
    <w:rsid w:val="00112514"/>
    <w:rsid w:val="00117C8A"/>
    <w:rsid w:val="00161A1E"/>
    <w:rsid w:val="001A31B2"/>
    <w:rsid w:val="001B0E02"/>
    <w:rsid w:val="001C1708"/>
    <w:rsid w:val="001C5609"/>
    <w:rsid w:val="001C65E5"/>
    <w:rsid w:val="001E664A"/>
    <w:rsid w:val="001F370A"/>
    <w:rsid w:val="00256770"/>
    <w:rsid w:val="00290AFD"/>
    <w:rsid w:val="002A3209"/>
    <w:rsid w:val="002C29AD"/>
    <w:rsid w:val="002D1BFD"/>
    <w:rsid w:val="002D60E4"/>
    <w:rsid w:val="002E4DBD"/>
    <w:rsid w:val="002E72F1"/>
    <w:rsid w:val="002F2F28"/>
    <w:rsid w:val="00310105"/>
    <w:rsid w:val="00331056"/>
    <w:rsid w:val="003361CC"/>
    <w:rsid w:val="00350219"/>
    <w:rsid w:val="003674D8"/>
    <w:rsid w:val="0037204B"/>
    <w:rsid w:val="00384482"/>
    <w:rsid w:val="003A41D0"/>
    <w:rsid w:val="003B03D0"/>
    <w:rsid w:val="003B3B7B"/>
    <w:rsid w:val="003C4444"/>
    <w:rsid w:val="003D3283"/>
    <w:rsid w:val="003D34AD"/>
    <w:rsid w:val="003D4A30"/>
    <w:rsid w:val="003D76C5"/>
    <w:rsid w:val="003E6A5E"/>
    <w:rsid w:val="003F54BA"/>
    <w:rsid w:val="003F5A75"/>
    <w:rsid w:val="00423EA0"/>
    <w:rsid w:val="00426885"/>
    <w:rsid w:val="004303DD"/>
    <w:rsid w:val="00446344"/>
    <w:rsid w:val="0045158F"/>
    <w:rsid w:val="00464FD7"/>
    <w:rsid w:val="004661B9"/>
    <w:rsid w:val="004855E7"/>
    <w:rsid w:val="004C7864"/>
    <w:rsid w:val="004E2467"/>
    <w:rsid w:val="004F0695"/>
    <w:rsid w:val="004F07A0"/>
    <w:rsid w:val="0050078F"/>
    <w:rsid w:val="00510EED"/>
    <w:rsid w:val="00522FC3"/>
    <w:rsid w:val="005249CC"/>
    <w:rsid w:val="00553797"/>
    <w:rsid w:val="00556B3D"/>
    <w:rsid w:val="00557BE9"/>
    <w:rsid w:val="00560F24"/>
    <w:rsid w:val="00577197"/>
    <w:rsid w:val="00577D51"/>
    <w:rsid w:val="0058737C"/>
    <w:rsid w:val="005D4EFA"/>
    <w:rsid w:val="005E0979"/>
    <w:rsid w:val="00634D6D"/>
    <w:rsid w:val="00636AD2"/>
    <w:rsid w:val="00640D50"/>
    <w:rsid w:val="006418CB"/>
    <w:rsid w:val="006440A3"/>
    <w:rsid w:val="00654BF3"/>
    <w:rsid w:val="00661512"/>
    <w:rsid w:val="006627B1"/>
    <w:rsid w:val="006647FF"/>
    <w:rsid w:val="00672BD3"/>
    <w:rsid w:val="006854CF"/>
    <w:rsid w:val="00687819"/>
    <w:rsid w:val="006A504B"/>
    <w:rsid w:val="006B7BA9"/>
    <w:rsid w:val="006D7751"/>
    <w:rsid w:val="006E0E50"/>
    <w:rsid w:val="00721D58"/>
    <w:rsid w:val="00725C1F"/>
    <w:rsid w:val="007307E1"/>
    <w:rsid w:val="00735333"/>
    <w:rsid w:val="007913A9"/>
    <w:rsid w:val="007C6E4F"/>
    <w:rsid w:val="007C7D05"/>
    <w:rsid w:val="007C7F16"/>
    <w:rsid w:val="007F64FE"/>
    <w:rsid w:val="007F6BCF"/>
    <w:rsid w:val="0080767D"/>
    <w:rsid w:val="00831F05"/>
    <w:rsid w:val="00867104"/>
    <w:rsid w:val="00886B6F"/>
    <w:rsid w:val="008A5085"/>
    <w:rsid w:val="008B7D11"/>
    <w:rsid w:val="008C4FD8"/>
    <w:rsid w:val="008C6331"/>
    <w:rsid w:val="008E00FD"/>
    <w:rsid w:val="008F2595"/>
    <w:rsid w:val="00902C56"/>
    <w:rsid w:val="009561BB"/>
    <w:rsid w:val="00983464"/>
    <w:rsid w:val="009A0E1C"/>
    <w:rsid w:val="009A7689"/>
    <w:rsid w:val="009B1668"/>
    <w:rsid w:val="009C4C31"/>
    <w:rsid w:val="009E0E81"/>
    <w:rsid w:val="009E489E"/>
    <w:rsid w:val="00A1589E"/>
    <w:rsid w:val="00A2230A"/>
    <w:rsid w:val="00A250FF"/>
    <w:rsid w:val="00A66566"/>
    <w:rsid w:val="00A74851"/>
    <w:rsid w:val="00A81934"/>
    <w:rsid w:val="00A8662C"/>
    <w:rsid w:val="00A871C7"/>
    <w:rsid w:val="00A9374E"/>
    <w:rsid w:val="00AA2ECA"/>
    <w:rsid w:val="00AC6A78"/>
    <w:rsid w:val="00AD0D0D"/>
    <w:rsid w:val="00AD2471"/>
    <w:rsid w:val="00AD5660"/>
    <w:rsid w:val="00AD689D"/>
    <w:rsid w:val="00AE6D15"/>
    <w:rsid w:val="00AF548E"/>
    <w:rsid w:val="00B20A8D"/>
    <w:rsid w:val="00B30434"/>
    <w:rsid w:val="00B3258C"/>
    <w:rsid w:val="00B33799"/>
    <w:rsid w:val="00B411B6"/>
    <w:rsid w:val="00B5279A"/>
    <w:rsid w:val="00B7529F"/>
    <w:rsid w:val="00B80ADB"/>
    <w:rsid w:val="00B840A8"/>
    <w:rsid w:val="00B920CA"/>
    <w:rsid w:val="00BA4B55"/>
    <w:rsid w:val="00BC6873"/>
    <w:rsid w:val="00BE4D5D"/>
    <w:rsid w:val="00BF139F"/>
    <w:rsid w:val="00C2606D"/>
    <w:rsid w:val="00C40B43"/>
    <w:rsid w:val="00C4206B"/>
    <w:rsid w:val="00C51366"/>
    <w:rsid w:val="00C64C34"/>
    <w:rsid w:val="00C95E85"/>
    <w:rsid w:val="00C96C11"/>
    <w:rsid w:val="00CA18F8"/>
    <w:rsid w:val="00CB0EAB"/>
    <w:rsid w:val="00CC3C40"/>
    <w:rsid w:val="00CF0C6E"/>
    <w:rsid w:val="00CF77FD"/>
    <w:rsid w:val="00D021E8"/>
    <w:rsid w:val="00D17B8F"/>
    <w:rsid w:val="00D2592F"/>
    <w:rsid w:val="00D37EC1"/>
    <w:rsid w:val="00DA2D7B"/>
    <w:rsid w:val="00DA7E13"/>
    <w:rsid w:val="00DD3D31"/>
    <w:rsid w:val="00DD6B71"/>
    <w:rsid w:val="00DE2A4D"/>
    <w:rsid w:val="00DE4A44"/>
    <w:rsid w:val="00DF2FF2"/>
    <w:rsid w:val="00E002BC"/>
    <w:rsid w:val="00E02B85"/>
    <w:rsid w:val="00E31B92"/>
    <w:rsid w:val="00E5063F"/>
    <w:rsid w:val="00E64E17"/>
    <w:rsid w:val="00E809F5"/>
    <w:rsid w:val="00E93FED"/>
    <w:rsid w:val="00E943D4"/>
    <w:rsid w:val="00EB06BA"/>
    <w:rsid w:val="00EE22EE"/>
    <w:rsid w:val="00EE334C"/>
    <w:rsid w:val="00F01BCD"/>
    <w:rsid w:val="00F128D5"/>
    <w:rsid w:val="00F16A2B"/>
    <w:rsid w:val="00F40C52"/>
    <w:rsid w:val="00F47F76"/>
    <w:rsid w:val="00F50606"/>
    <w:rsid w:val="00F53803"/>
    <w:rsid w:val="00F913F7"/>
    <w:rsid w:val="00FA1B9F"/>
    <w:rsid w:val="00FA2289"/>
    <w:rsid w:val="00FF1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1AFB8"/>
  <w15:docId w15:val="{A6E91F77-7755-4558-B6E0-7D9ABDFC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1B2"/>
    <w:rPr>
      <w:rFonts w:ascii="Arial" w:hAnsi="Arial" w:cs="Arial"/>
      <w:sz w:val="22"/>
      <w:szCs w:val="24"/>
    </w:rPr>
  </w:style>
  <w:style w:type="paragraph" w:styleId="Heading1">
    <w:name w:val="heading 1"/>
    <w:basedOn w:val="Normal"/>
    <w:next w:val="Normal"/>
    <w:qFormat/>
    <w:rsid w:val="003A41D0"/>
    <w:pPr>
      <w:keepNext/>
      <w:spacing w:before="240" w:after="60"/>
      <w:outlineLvl w:val="0"/>
    </w:pPr>
    <w:rPr>
      <w:b/>
      <w:bCs/>
      <w:kern w:val="32"/>
      <w:sz w:val="32"/>
      <w:szCs w:val="32"/>
    </w:rPr>
  </w:style>
  <w:style w:type="paragraph" w:styleId="Heading2">
    <w:name w:val="heading 2"/>
    <w:basedOn w:val="Normal"/>
    <w:next w:val="Normal"/>
    <w:qFormat/>
    <w:rsid w:val="001A31B2"/>
    <w:pPr>
      <w:keepNext/>
      <w:outlineLvl w:val="1"/>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C7F16"/>
    <w:pPr>
      <w:framePr w:w="7920" w:h="1980" w:hRule="exact" w:hSpace="180" w:wrap="auto" w:hAnchor="page" w:xAlign="center" w:yAlign="bottom"/>
      <w:ind w:left="2880"/>
    </w:pPr>
    <w:rPr>
      <w:caps/>
      <w:sz w:val="20"/>
      <w:szCs w:val="20"/>
    </w:rPr>
  </w:style>
  <w:style w:type="paragraph" w:styleId="Header">
    <w:name w:val="header"/>
    <w:basedOn w:val="Normal"/>
    <w:rsid w:val="001A31B2"/>
    <w:pPr>
      <w:tabs>
        <w:tab w:val="center" w:pos="4320"/>
        <w:tab w:val="right" w:pos="8640"/>
      </w:tabs>
    </w:pPr>
    <w:rPr>
      <w:rFonts w:ascii="Times New Roman" w:hAnsi="Times New Roman" w:cs="Times New Roman"/>
      <w:sz w:val="24"/>
      <w:szCs w:val="20"/>
    </w:rPr>
  </w:style>
  <w:style w:type="character" w:styleId="PageNumber">
    <w:name w:val="page number"/>
    <w:basedOn w:val="DefaultParagraphFont"/>
    <w:rsid w:val="001A31B2"/>
  </w:style>
  <w:style w:type="paragraph" w:styleId="BodyText">
    <w:name w:val="Body Text"/>
    <w:basedOn w:val="Normal"/>
    <w:rsid w:val="001A31B2"/>
    <w:rPr>
      <w:szCs w:val="20"/>
    </w:rPr>
  </w:style>
  <w:style w:type="paragraph" w:styleId="Footer">
    <w:name w:val="footer"/>
    <w:basedOn w:val="Normal"/>
    <w:rsid w:val="001A31B2"/>
    <w:pPr>
      <w:tabs>
        <w:tab w:val="center" w:pos="4320"/>
        <w:tab w:val="right" w:pos="8640"/>
      </w:tabs>
    </w:pPr>
  </w:style>
  <w:style w:type="paragraph" w:styleId="Title">
    <w:name w:val="Title"/>
    <w:basedOn w:val="Normal"/>
    <w:qFormat/>
    <w:rsid w:val="001A31B2"/>
    <w:pPr>
      <w:jc w:val="center"/>
    </w:pPr>
    <w:rPr>
      <w:i/>
      <w:iCs/>
      <w:caps/>
    </w:rPr>
  </w:style>
  <w:style w:type="paragraph" w:customStyle="1" w:styleId="Paragraph">
    <w:name w:val="Paragraph"/>
    <w:basedOn w:val="Normal"/>
    <w:rsid w:val="007307E1"/>
    <w:pPr>
      <w:suppressAutoHyphens/>
      <w:jc w:val="both"/>
    </w:pPr>
    <w:rPr>
      <w:rFonts w:ascii="Times New Roman" w:hAnsi="Times New Roman" w:cs="Times New Roman"/>
      <w:snapToGrid w:val="0"/>
      <w:sz w:val="20"/>
      <w:szCs w:val="20"/>
    </w:rPr>
  </w:style>
  <w:style w:type="paragraph" w:styleId="BalloonText">
    <w:name w:val="Balloon Text"/>
    <w:basedOn w:val="Normal"/>
    <w:semiHidden/>
    <w:rsid w:val="00256770"/>
    <w:rPr>
      <w:rFonts w:ascii="Tahoma" w:hAnsi="Tahoma" w:cs="Tahoma"/>
      <w:sz w:val="16"/>
      <w:szCs w:val="16"/>
    </w:rPr>
  </w:style>
  <w:style w:type="paragraph" w:customStyle="1" w:styleId="paragraph0">
    <w:name w:val="paragraph"/>
    <w:basedOn w:val="Normal"/>
    <w:rsid w:val="009A0E1C"/>
    <w:pPr>
      <w:snapToGrid w:val="0"/>
      <w:jc w:val="both"/>
    </w:pPr>
    <w:rPr>
      <w:rFonts w:ascii="Times New Roman" w:hAnsi="Times New Roman" w:cs="Times New Roman"/>
      <w:sz w:val="20"/>
      <w:szCs w:val="20"/>
    </w:rPr>
  </w:style>
  <w:style w:type="character" w:styleId="CommentReference">
    <w:name w:val="annotation reference"/>
    <w:basedOn w:val="DefaultParagraphFont"/>
    <w:rsid w:val="00522FC3"/>
    <w:rPr>
      <w:sz w:val="16"/>
      <w:szCs w:val="16"/>
    </w:rPr>
  </w:style>
  <w:style w:type="paragraph" w:styleId="CommentText">
    <w:name w:val="annotation text"/>
    <w:basedOn w:val="Normal"/>
    <w:link w:val="CommentTextChar"/>
    <w:rsid w:val="00522FC3"/>
    <w:rPr>
      <w:sz w:val="20"/>
      <w:szCs w:val="20"/>
    </w:rPr>
  </w:style>
  <w:style w:type="character" w:customStyle="1" w:styleId="CommentTextChar">
    <w:name w:val="Comment Text Char"/>
    <w:basedOn w:val="DefaultParagraphFont"/>
    <w:link w:val="CommentText"/>
    <w:rsid w:val="00522FC3"/>
    <w:rPr>
      <w:rFonts w:ascii="Arial" w:hAnsi="Arial" w:cs="Arial"/>
    </w:rPr>
  </w:style>
  <w:style w:type="paragraph" w:styleId="CommentSubject">
    <w:name w:val="annotation subject"/>
    <w:basedOn w:val="CommentText"/>
    <w:next w:val="CommentText"/>
    <w:link w:val="CommentSubjectChar"/>
    <w:rsid w:val="00522FC3"/>
    <w:rPr>
      <w:b/>
      <w:bCs/>
    </w:rPr>
  </w:style>
  <w:style w:type="character" w:customStyle="1" w:styleId="CommentSubjectChar">
    <w:name w:val="Comment Subject Char"/>
    <w:basedOn w:val="CommentTextChar"/>
    <w:link w:val="CommentSubject"/>
    <w:rsid w:val="00522FC3"/>
    <w:rPr>
      <w:rFonts w:ascii="Arial" w:hAnsi="Arial" w:cs="Arial"/>
      <w:b/>
      <w:bCs/>
    </w:rPr>
  </w:style>
  <w:style w:type="paragraph" w:styleId="Revision">
    <w:name w:val="Revision"/>
    <w:hidden/>
    <w:uiPriority w:val="99"/>
    <w:semiHidden/>
    <w:rsid w:val="00522FC3"/>
    <w:rPr>
      <w:rFonts w:ascii="Arial" w:hAnsi="Arial" w:cs="Arial"/>
      <w:sz w:val="22"/>
      <w:szCs w:val="24"/>
    </w:rPr>
  </w:style>
  <w:style w:type="paragraph" w:styleId="ListParagraph">
    <w:name w:val="List Paragraph"/>
    <w:basedOn w:val="Normal"/>
    <w:uiPriority w:val="34"/>
    <w:qFormat/>
    <w:rsid w:val="00AE6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068451">
      <w:bodyDiv w:val="1"/>
      <w:marLeft w:val="0"/>
      <w:marRight w:val="0"/>
      <w:marTop w:val="0"/>
      <w:marBottom w:val="0"/>
      <w:divBdr>
        <w:top w:val="none" w:sz="0" w:space="0" w:color="auto"/>
        <w:left w:val="none" w:sz="0" w:space="0" w:color="auto"/>
        <w:bottom w:val="none" w:sz="0" w:space="0" w:color="auto"/>
        <w:right w:val="none" w:sz="0" w:space="0" w:color="auto"/>
      </w:divBdr>
    </w:div>
    <w:div w:id="893927381">
      <w:bodyDiv w:val="1"/>
      <w:marLeft w:val="0"/>
      <w:marRight w:val="0"/>
      <w:marTop w:val="0"/>
      <w:marBottom w:val="0"/>
      <w:divBdr>
        <w:top w:val="none" w:sz="0" w:space="0" w:color="auto"/>
        <w:left w:val="none" w:sz="0" w:space="0" w:color="auto"/>
        <w:bottom w:val="none" w:sz="0" w:space="0" w:color="auto"/>
        <w:right w:val="none" w:sz="0" w:space="0" w:color="auto"/>
      </w:divBdr>
    </w:div>
    <w:div w:id="1616056975">
      <w:bodyDiv w:val="1"/>
      <w:marLeft w:val="0"/>
      <w:marRight w:val="0"/>
      <w:marTop w:val="0"/>
      <w:marBottom w:val="0"/>
      <w:divBdr>
        <w:top w:val="none" w:sz="0" w:space="0" w:color="auto"/>
        <w:left w:val="none" w:sz="0" w:space="0" w:color="auto"/>
        <w:bottom w:val="none" w:sz="0" w:space="0" w:color="auto"/>
        <w:right w:val="none" w:sz="0" w:space="0" w:color="auto"/>
      </w:divBdr>
    </w:div>
    <w:div w:id="212037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2003 MEMORANDUM OF AGREEMENT</vt:lpstr>
    </vt:vector>
  </TitlesOfParts>
  <Company>State Employees Combined Campaign</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MEMORANDUM OF AGREEMENT</dc:title>
  <dc:creator>lvirgin</dc:creator>
  <cp:lastModifiedBy>Laura Baker</cp:lastModifiedBy>
  <cp:revision>2</cp:revision>
  <cp:lastPrinted>2015-11-05T15:21:00Z</cp:lastPrinted>
  <dcterms:created xsi:type="dcterms:W3CDTF">2020-12-07T14:14:00Z</dcterms:created>
  <dcterms:modified xsi:type="dcterms:W3CDTF">2020-12-07T14:14:00Z</dcterms:modified>
</cp:coreProperties>
</file>